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7E365628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CC0E0C" w:rsidRPr="00CC0E0C">
        <w:rPr>
          <w:rFonts w:ascii="Times New Roman" w:hAnsi="Times New Roman" w:cs="Times New Roman"/>
          <w:sz w:val="40"/>
          <w:szCs w:val="40"/>
        </w:rPr>
        <w:t>02</w:t>
      </w:r>
      <w:r w:rsidRPr="00CC0E0C">
        <w:rPr>
          <w:rFonts w:ascii="Times New Roman" w:hAnsi="Times New Roman" w:cs="Times New Roman"/>
          <w:sz w:val="40"/>
          <w:szCs w:val="40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743F6C63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Wykonanie pr</w:t>
      </w:r>
      <w:r w:rsidR="006407EF"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jektu budowlanego w zakresie wzmocnienia, konserwacji, restauracji i modernizacji  budynku dawnego domu talmudycznego</w:t>
      </w:r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7F2E4A48" w:rsidR="001361AB" w:rsidRPr="0052017E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AC35E3">
        <w:rPr>
          <w:rFonts w:ascii="Times New Roman" w:hAnsi="Times New Roman" w:cs="Times New Roman"/>
          <w:szCs w:val="24"/>
        </w:rPr>
        <w:t xml:space="preserve">Warszawa, dnia </w:t>
      </w:r>
      <w:r w:rsidR="00AC35E3" w:rsidRPr="00AC35E3">
        <w:rPr>
          <w:rFonts w:ascii="Times New Roman" w:hAnsi="Times New Roman" w:cs="Times New Roman"/>
          <w:szCs w:val="24"/>
        </w:rPr>
        <w:t>14</w:t>
      </w:r>
      <w:r w:rsidR="001361AB" w:rsidRPr="00AC35E3">
        <w:rPr>
          <w:rFonts w:ascii="Times New Roman" w:hAnsi="Times New Roman" w:cs="Times New Roman"/>
          <w:szCs w:val="24"/>
        </w:rPr>
        <w:t xml:space="preserve"> </w:t>
      </w:r>
      <w:r w:rsidR="00AC35E3" w:rsidRPr="00AC35E3">
        <w:rPr>
          <w:rFonts w:ascii="Times New Roman" w:hAnsi="Times New Roman" w:cs="Times New Roman"/>
          <w:szCs w:val="24"/>
        </w:rPr>
        <w:t>maja</w:t>
      </w:r>
      <w:r w:rsidRPr="00AC35E3">
        <w:rPr>
          <w:rFonts w:ascii="Times New Roman" w:hAnsi="Times New Roman" w:cs="Times New Roman"/>
          <w:szCs w:val="24"/>
        </w:rPr>
        <w:t xml:space="preserve"> 2024 r.</w:t>
      </w: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2CA5A123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204F5E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 niniejszego postępowania nie stosuje się przepisów ustawy z dnia 1 1 września 2019 r. Prawo zamówień publicznych (Dz. U. z 2023 r. poz. 1605 z późn.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sprawach nieuregulowanych niniejszym zapytaniem ofertowym zastosowanie mają obowiązujące przepisy prawa, w szczególności ustawy z dnia 23 kwietnia 1964 r. Kodeks cywilny (Dz. U. z 2023 r. poz. 1610 z późn.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77304FC7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 xml:space="preserve">ykonanie projektu budowlanego wzmocnienia, konserwacji, restauracji i modernizacji </w:t>
      </w:r>
      <w:r w:rsidR="00AB71FF">
        <w:rPr>
          <w:rFonts w:ascii="Times New Roman" w:hAnsi="Times New Roman" w:cs="Times New Roman"/>
          <w:szCs w:val="24"/>
        </w:rPr>
        <w:t>Domu Talmudycznego</w:t>
      </w:r>
      <w:r w:rsidR="00307C67" w:rsidRPr="007C0ED6">
        <w:rPr>
          <w:rFonts w:ascii="Times New Roman" w:hAnsi="Times New Roman" w:cs="Times New Roman"/>
          <w:szCs w:val="24"/>
        </w:rPr>
        <w:t xml:space="preserve"> w Sejnach, któr</w:t>
      </w:r>
      <w:r w:rsidR="00AB71FF">
        <w:rPr>
          <w:rFonts w:ascii="Times New Roman" w:hAnsi="Times New Roman" w:cs="Times New Roman"/>
          <w:szCs w:val="24"/>
        </w:rPr>
        <w:t>y</w:t>
      </w:r>
      <w:r w:rsidR="00307C67" w:rsidRPr="007C0ED6">
        <w:rPr>
          <w:rFonts w:ascii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zabytków pod nr rej. </w:t>
      </w:r>
      <w:r w:rsidR="00AB71FF">
        <w:rPr>
          <w:rFonts w:ascii="Times New Roman" w:eastAsia="Times New Roman" w:hAnsi="Times New Roman" w:cs="Times New Roman"/>
          <w:szCs w:val="24"/>
        </w:rPr>
        <w:t>37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AB71FF">
        <w:rPr>
          <w:rFonts w:ascii="Times New Roman" w:eastAsia="Times New Roman" w:hAnsi="Times New Roman" w:cs="Times New Roman"/>
          <w:szCs w:val="24"/>
        </w:rPr>
        <w:t>23</w:t>
      </w:r>
      <w:r w:rsidR="00307C67" w:rsidRPr="007C0ED6">
        <w:rPr>
          <w:rFonts w:ascii="Times New Roman" w:eastAsia="Times New Roman" w:hAnsi="Times New Roman" w:cs="Times New Roman"/>
          <w:szCs w:val="24"/>
        </w:rPr>
        <w:t>.0</w:t>
      </w:r>
      <w:r w:rsidR="00AB71FF">
        <w:rPr>
          <w:rFonts w:ascii="Times New Roman" w:eastAsia="Times New Roman" w:hAnsi="Times New Roman" w:cs="Times New Roman"/>
          <w:szCs w:val="24"/>
        </w:rPr>
        <w:t>5</w:t>
      </w:r>
      <w:r w:rsidR="00307C67" w:rsidRPr="007C0ED6">
        <w:rPr>
          <w:rFonts w:ascii="Times New Roman" w:eastAsia="Times New Roman" w:hAnsi="Times New Roman" w:cs="Times New Roman"/>
          <w:szCs w:val="24"/>
        </w:rPr>
        <w:t>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ozn.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</w:t>
      </w:r>
      <w:r w:rsidR="00AB71FF">
        <w:rPr>
          <w:rFonts w:ascii="Times New Roman" w:eastAsia="Times New Roman" w:hAnsi="Times New Roman" w:cs="Times New Roman"/>
          <w:szCs w:val="24"/>
        </w:rPr>
        <w:t>19</w:t>
      </w:r>
      <w:r w:rsidR="00DE446A" w:rsidRPr="007C0ED6">
        <w:rPr>
          <w:rFonts w:ascii="Times New Roman" w:eastAsia="Times New Roman" w:hAnsi="Times New Roman" w:cs="Times New Roman"/>
          <w:szCs w:val="24"/>
        </w:rPr>
        <w:t>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AB71FF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149DFD6E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lastRenderedPageBreak/>
        <w:t>wykonanie badań konserwatorskich, opracowanie dokumentacji i programu prac konserwatorskich elewacji, wnętrza i polichromii, w tym:</w:t>
      </w:r>
    </w:p>
    <w:p w14:paraId="0C1027B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wykonanie badań konserwatorskich in situ oraz badań fizyko-chemicznych polichromii, </w:t>
      </w:r>
    </w:p>
    <w:p w14:paraId="62D0B7F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badań konserwatorskich in situ oraz badań fizyko-chemicznych tynków oraz cegieł</w:t>
      </w:r>
      <w:r>
        <w:rPr>
          <w:rFonts w:ascii="Cambria" w:eastAsia="Times New Roman" w:hAnsi="Cambria" w:cs="Times New Roman"/>
          <w:szCs w:val="24"/>
        </w:rPr>
        <w:t>,</w:t>
      </w:r>
    </w:p>
    <w:p w14:paraId="7C2ECE81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wnętrze i elewacja,</w:t>
      </w:r>
    </w:p>
    <w:p w14:paraId="2AB51F27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wykonanie badań mykologicznych więźby dachowej i stolarki;</w:t>
      </w:r>
    </w:p>
    <w:p w14:paraId="0178F16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polichromii i tynków wnętrza, </w:t>
      </w:r>
    </w:p>
    <w:p w14:paraId="17D2259C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, </w:t>
      </w:r>
    </w:p>
    <w:p w14:paraId="73F98AB1" w14:textId="626DB2AC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polichromii i tynków wnętrza, </w:t>
      </w:r>
      <w:r w:rsidRPr="003D0A70">
        <w:rPr>
          <w:rFonts w:ascii="Cambria" w:hAnsi="Cambria"/>
          <w:noProof/>
          <w:szCs w:val="24"/>
        </w:rPr>
        <w:drawing>
          <wp:inline distT="0" distB="0" distL="0" distR="0" wp14:anchorId="0ABD20BF" wp14:editId="4D58CAED">
            <wp:extent cx="85725" cy="9525"/>
            <wp:effectExtent l="0" t="0" r="0" b="0"/>
            <wp:docPr id="813958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70">
        <w:rPr>
          <w:rFonts w:ascii="Cambria" w:eastAsia="Times New Roman" w:hAnsi="Cambria" w:cs="Times New Roman"/>
          <w:szCs w:val="24"/>
        </w:rPr>
        <w:t xml:space="preserve"> opracowanie programu prac konserwatorskich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 — elewacje, </w:t>
      </w:r>
    </w:p>
    <w:p w14:paraId="474A9668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wnętrza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>;</w:t>
      </w:r>
    </w:p>
    <w:p w14:paraId="1378FDCF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opracowanie warunków przyłączenia do sieci sanitarnej, zmiany mocy przyłącza energetycznego i zmiany mocy przyłącza cieplnego.</w:t>
      </w:r>
    </w:p>
    <w:p w14:paraId="23ADA280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 i dokumentacji przedprojektowej, w tym:</w:t>
      </w:r>
    </w:p>
    <w:p w14:paraId="573FDA19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ekspertyzy technicznej stanu budynku z uwzględnieniem stanu podłoża gruntowego, </w:t>
      </w:r>
    </w:p>
    <w:p w14:paraId="479EC381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inwentaryzacji budowlano-konserwatorskiej,</w:t>
      </w:r>
    </w:p>
    <w:p w14:paraId="30BEFE36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ekspertyzy pożarowej i uzgodnienie jej z Komendantem PSP oraz WUOZ pod kątem odstępstw od warunków technicznych;</w:t>
      </w:r>
    </w:p>
    <w:p w14:paraId="2A2B28FF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budowlanego, zgodnie z art. 34 ust. 3 ustawy z dnia 7 lipca 1994 r. Prawo budowlane (Dz. U. z 2023 r. poz. 682 z późn. zm.), w tym:</w:t>
      </w:r>
    </w:p>
    <w:p w14:paraId="54D08E22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projektu zagospodarowania terenu, </w:t>
      </w:r>
    </w:p>
    <w:p w14:paraId="5FE9A3D6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architektonicznego,</w:t>
      </w:r>
    </w:p>
    <w:p w14:paraId="213F41C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opracowanie projektu konstrukcyjnego,</w:t>
      </w:r>
    </w:p>
    <w:p w14:paraId="12CA4A0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elektrycznej (w tym niskoprądowej),</w:t>
      </w:r>
    </w:p>
    <w:p w14:paraId="7585C760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sanitarnej,</w:t>
      </w:r>
    </w:p>
    <w:p w14:paraId="283EA4DD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program prac konserwatorskich,</w:t>
      </w:r>
    </w:p>
    <w:p w14:paraId="064776D9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przedmiarów i kosztorysów inwestorskich;</w:t>
      </w:r>
    </w:p>
    <w:p w14:paraId="7EA71E06" w14:textId="77777777" w:rsidR="00AB71FF" w:rsidRPr="003D0A70" w:rsidRDefault="00AB71FF" w:rsidP="00AB71FF">
      <w:pPr>
        <w:pStyle w:val="Akapitzlist"/>
        <w:spacing w:after="0" w:line="276" w:lineRule="auto"/>
        <w:ind w:right="101"/>
        <w:rPr>
          <w:rFonts w:ascii="Cambria" w:eastAsia="Times New Roman" w:hAnsi="Cambria" w:cs="Times New Roman"/>
          <w:szCs w:val="24"/>
          <w:highlight w:val="cyan"/>
        </w:rPr>
      </w:pPr>
    </w:p>
    <w:p w14:paraId="6C37B90C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 xml:space="preserve">uzgodnienie projektu przez rzeczoznawcę ds. BHP; rzeczoznawcę ds. ochrony ppoż. Oraz uzgodnienie ZUD; </w:t>
      </w:r>
    </w:p>
    <w:p w14:paraId="30C2FEB7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uzyskanie pozwolenia konserwatora zabytków na wykonanie prac objętych powyższą dokumentacją;</w:t>
      </w:r>
    </w:p>
    <w:p w14:paraId="43B287F9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przygotowanie wniosku o pozwolenie na budowę do Starosty Sejneńskiego w Sejnach.</w:t>
      </w:r>
    </w:p>
    <w:p w14:paraId="1DE58F74" w14:textId="77777777" w:rsidR="00AB71FF" w:rsidRPr="007C0ED6" w:rsidRDefault="00AB71FF" w:rsidP="00AB71FF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1" w:name="_Hlk93993384"/>
      <w:r w:rsidRPr="007C0ED6">
        <w:rPr>
          <w:rFonts w:ascii="Times New Roman" w:hAnsi="Times New Roman" w:cs="Times New Roman"/>
          <w:bCs/>
          <w:szCs w:val="24"/>
        </w:rPr>
        <w:lastRenderedPageBreak/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2" w:name="_Hlk108515321"/>
      <w:bookmarkEnd w:id="1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2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55F5A45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</w:t>
      </w:r>
      <w:r w:rsidR="00AB71FF">
        <w:rPr>
          <w:rFonts w:ascii="Times New Roman" w:eastAsia="Times New Roman" w:hAnsi="Times New Roman" w:cs="Times New Roman"/>
          <w:szCs w:val="24"/>
        </w:rPr>
        <w:t>: 8 miesięcy od podpisania umowy z Wykonawcą.</w:t>
      </w:r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architektonicznej bez ograniczeń - co najmniej 1 osoba, </w:t>
      </w:r>
    </w:p>
    <w:p w14:paraId="5DA2EFDE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konstrukcyjno-budowlanej bez ograniczeń - co najmniej 1 osoba, </w:t>
      </w:r>
    </w:p>
    <w:p w14:paraId="4ED8FC20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Cn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Cb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43B4D818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AC35E3">
        <w:rPr>
          <w:rFonts w:ascii="Times New Roman" w:eastAsia="Times New Roman" w:hAnsi="Times New Roman" w:cs="Times New Roman"/>
          <w:b/>
          <w:bCs/>
          <w:szCs w:val="24"/>
        </w:rPr>
        <w:t>2</w:t>
      </w:r>
      <w:r w:rsidR="00B328CB">
        <w:rPr>
          <w:rFonts w:ascii="Times New Roman" w:eastAsia="Times New Roman" w:hAnsi="Times New Roman" w:cs="Times New Roman"/>
          <w:b/>
          <w:bCs/>
          <w:szCs w:val="24"/>
        </w:rPr>
        <w:t>4</w:t>
      </w:r>
      <w:r w:rsidR="00C957B0" w:rsidRPr="00AC35E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C35E3">
        <w:rPr>
          <w:rFonts w:ascii="Times New Roman" w:eastAsia="Times New Roman" w:hAnsi="Times New Roman" w:cs="Times New Roman"/>
          <w:b/>
          <w:bCs/>
          <w:szCs w:val="24"/>
        </w:rPr>
        <w:t>maja</w:t>
      </w:r>
      <w:r w:rsidRPr="00AC35E3">
        <w:rPr>
          <w:rFonts w:ascii="Times New Roman" w:eastAsia="Times New Roman" w:hAnsi="Times New Roman" w:cs="Times New Roman"/>
          <w:b/>
          <w:bCs/>
          <w:szCs w:val="24"/>
        </w:rPr>
        <w:t xml:space="preserve"> 2024 r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72B5FB82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2" w:history="1">
        <w:r w:rsidR="00F912AD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Zgodnie z art. 13 ust. I i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40E2E6B0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204F5E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art. 16 RODO prawo do sprostowania Pani/Pana danych osobowych (skorzystanie z prawa do sprostowania nie może skutkować zmianą wyniku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>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316DF" w14:textId="77777777" w:rsidR="00E4410B" w:rsidRDefault="00E4410B">
      <w:pPr>
        <w:spacing w:after="0" w:line="240" w:lineRule="auto"/>
      </w:pPr>
      <w:r>
        <w:separator/>
      </w:r>
    </w:p>
  </w:endnote>
  <w:endnote w:type="continuationSeparator" w:id="0">
    <w:p w14:paraId="280638AE" w14:textId="77777777" w:rsidR="00E4410B" w:rsidRDefault="00E4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23340" w14:textId="77777777" w:rsidR="00E4410B" w:rsidRDefault="00E4410B">
      <w:pPr>
        <w:spacing w:after="0" w:line="240" w:lineRule="auto"/>
      </w:pPr>
      <w:r>
        <w:separator/>
      </w:r>
    </w:p>
  </w:footnote>
  <w:footnote w:type="continuationSeparator" w:id="0">
    <w:p w14:paraId="336137A6" w14:textId="77777777" w:rsidR="00E4410B" w:rsidRDefault="00E4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3" w:name="_Hlk130213139"/>
    <w:bookmarkStart w:id="4" w:name="_Hlk130213140"/>
    <w:bookmarkStart w:id="5" w:name="_Hlk153869223"/>
    <w:bookmarkStart w:id="6" w:name="_Hlk153869224"/>
    <w:bookmarkStart w:id="7" w:name="_Hlk153869558"/>
    <w:bookmarkStart w:id="8" w:name="_Hlk153869559"/>
    <w:bookmarkStart w:id="9" w:name="_Hlk155257703"/>
    <w:bookmarkStart w:id="10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39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40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050D7C"/>
    <w:rsid w:val="00113C06"/>
    <w:rsid w:val="00127D08"/>
    <w:rsid w:val="001361AB"/>
    <w:rsid w:val="001964C7"/>
    <w:rsid w:val="001E2038"/>
    <w:rsid w:val="00204F5E"/>
    <w:rsid w:val="002C7623"/>
    <w:rsid w:val="00307C67"/>
    <w:rsid w:val="00320958"/>
    <w:rsid w:val="00332778"/>
    <w:rsid w:val="00366AF3"/>
    <w:rsid w:val="00436F7E"/>
    <w:rsid w:val="00461BB3"/>
    <w:rsid w:val="004E6666"/>
    <w:rsid w:val="0052017E"/>
    <w:rsid w:val="00567216"/>
    <w:rsid w:val="005745A6"/>
    <w:rsid w:val="005C6D00"/>
    <w:rsid w:val="006407EF"/>
    <w:rsid w:val="00732E07"/>
    <w:rsid w:val="007C0ED6"/>
    <w:rsid w:val="00862D62"/>
    <w:rsid w:val="0087094F"/>
    <w:rsid w:val="00954AF8"/>
    <w:rsid w:val="00980AC1"/>
    <w:rsid w:val="009B27F7"/>
    <w:rsid w:val="009F0C61"/>
    <w:rsid w:val="00A42988"/>
    <w:rsid w:val="00A94A8B"/>
    <w:rsid w:val="00A957F1"/>
    <w:rsid w:val="00AB6FA4"/>
    <w:rsid w:val="00AB71FF"/>
    <w:rsid w:val="00AC35E3"/>
    <w:rsid w:val="00AC4691"/>
    <w:rsid w:val="00AF6BB6"/>
    <w:rsid w:val="00B27EDD"/>
    <w:rsid w:val="00B328CB"/>
    <w:rsid w:val="00B346A9"/>
    <w:rsid w:val="00B42427"/>
    <w:rsid w:val="00C4699D"/>
    <w:rsid w:val="00C93BB8"/>
    <w:rsid w:val="00C957B0"/>
    <w:rsid w:val="00CC0E0C"/>
    <w:rsid w:val="00D373EE"/>
    <w:rsid w:val="00DE446A"/>
    <w:rsid w:val="00E4410B"/>
    <w:rsid w:val="00E8772C"/>
    <w:rsid w:val="00F16AB5"/>
    <w:rsid w:val="00F27A30"/>
    <w:rsid w:val="00F31AD9"/>
    <w:rsid w:val="00F912AD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aliases w:val="Podsis rysunku,Akapit z listą numerowaną,List Paragraph1,L1,Numerowanie,Akapit z listą5,Akapit z listą1,normalny tekst,Akapit z list¹,T_SZ_List Paragraph,Akapit z listą BS,Kolorowa lista — akcent 11,Colorful List Accent 1"/>
    <w:basedOn w:val="Normalny"/>
    <w:link w:val="AkapitzlistZnak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Akapit z listą1 Znak,normalny tekst Znak,Akapit z list¹ Znak,T_SZ_List Paragraph Znak,Akapit z listą BS Znak"/>
    <w:link w:val="Akapitzlist"/>
    <w:uiPriority w:val="34"/>
    <w:qFormat/>
    <w:locked/>
    <w:rsid w:val="00AB71F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n@fod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3</cp:revision>
  <dcterms:created xsi:type="dcterms:W3CDTF">2024-05-14T09:39:00Z</dcterms:created>
  <dcterms:modified xsi:type="dcterms:W3CDTF">2024-05-14T09:48:00Z</dcterms:modified>
</cp:coreProperties>
</file>